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A7831" w14:textId="77777777" w:rsidR="00525D31" w:rsidRDefault="00525D31" w:rsidP="007F608E">
      <w:pPr>
        <w:spacing w:after="0"/>
        <w:jc w:val="center"/>
        <w:rPr>
          <w:b/>
          <w:sz w:val="24"/>
          <w:szCs w:val="24"/>
        </w:rPr>
      </w:pPr>
    </w:p>
    <w:p w14:paraId="63C097B5" w14:textId="4F91CC56" w:rsidR="007F608E" w:rsidRPr="00525D31" w:rsidRDefault="007F608E" w:rsidP="007F608E">
      <w:pPr>
        <w:spacing w:after="0"/>
        <w:jc w:val="center"/>
        <w:rPr>
          <w:b/>
          <w:sz w:val="28"/>
          <w:szCs w:val="28"/>
        </w:rPr>
      </w:pPr>
      <w:r w:rsidRPr="00525D31">
        <w:rPr>
          <w:b/>
          <w:sz w:val="28"/>
          <w:szCs w:val="28"/>
        </w:rPr>
        <w:t xml:space="preserve">Implications of Sex and Gender on </w:t>
      </w:r>
      <w:r w:rsidRPr="00525D31">
        <w:rPr>
          <w:b/>
          <w:sz w:val="28"/>
          <w:szCs w:val="28"/>
          <w:highlight w:val="green"/>
        </w:rPr>
        <w:t>[module title]</w:t>
      </w:r>
      <w:r w:rsidRPr="00525D31">
        <w:rPr>
          <w:b/>
          <w:sz w:val="28"/>
          <w:szCs w:val="28"/>
        </w:rPr>
        <w:t xml:space="preserve"> </w:t>
      </w:r>
    </w:p>
    <w:p w14:paraId="2758E599" w14:textId="77777777" w:rsidR="00525D31" w:rsidRPr="00BA1123" w:rsidRDefault="00525D31" w:rsidP="007F608E">
      <w:pPr>
        <w:spacing w:after="0"/>
        <w:jc w:val="center"/>
        <w:rPr>
          <w:b/>
          <w:sz w:val="24"/>
          <w:szCs w:val="24"/>
        </w:rPr>
      </w:pPr>
    </w:p>
    <w:p w14:paraId="3DDD59CA" w14:textId="37106AFA" w:rsidR="00C760A4" w:rsidRPr="00686B33" w:rsidRDefault="00C760A4" w:rsidP="00C760A4">
      <w:pPr>
        <w:shd w:val="clear" w:color="auto" w:fill="BFBFBF"/>
        <w:rPr>
          <w:b/>
          <w:sz w:val="24"/>
          <w:szCs w:val="24"/>
        </w:rPr>
      </w:pPr>
      <w:r w:rsidRPr="00686B33">
        <w:rPr>
          <w:b/>
          <w:sz w:val="24"/>
          <w:szCs w:val="24"/>
        </w:rPr>
        <w:t>Sex/Gender Definitions</w:t>
      </w:r>
    </w:p>
    <w:p w14:paraId="7C7C0BCB" w14:textId="0BA6D11A" w:rsidR="00C760A4" w:rsidRDefault="00036217" w:rsidP="000330D7">
      <w:pPr>
        <w:spacing w:after="120" w:line="240" w:lineRule="auto"/>
      </w:pPr>
      <w:r w:rsidRPr="00686B33">
        <w:rPr>
          <w:b/>
        </w:rPr>
        <w:t>Sex:</w:t>
      </w:r>
      <w:r w:rsidRPr="00686B33">
        <w:t xml:space="preserve">  </w:t>
      </w:r>
      <w:r w:rsidR="0055382B" w:rsidRPr="00686B33">
        <w:t xml:space="preserve">The biological variable that is determined by XY chromosomes. </w:t>
      </w:r>
      <w:r w:rsidRPr="00686B33">
        <w:t xml:space="preserve">In January 2016, </w:t>
      </w:r>
      <w:r w:rsidR="0055382B" w:rsidRPr="00686B33">
        <w:t xml:space="preserve">the National Institutes of Health (NIH) </w:t>
      </w:r>
      <w:r w:rsidR="000C442B" w:rsidRPr="00686B33">
        <w:t xml:space="preserve">acknowledged the significance of </w:t>
      </w:r>
      <w:r w:rsidR="0055382B" w:rsidRPr="00686B33">
        <w:t>s</w:t>
      </w:r>
      <w:r w:rsidRPr="00686B33">
        <w:t xml:space="preserve">ex as a </w:t>
      </w:r>
      <w:r w:rsidR="0055382B" w:rsidRPr="00686B33">
        <w:t>b</w:t>
      </w:r>
      <w:r w:rsidRPr="00686B33">
        <w:t xml:space="preserve">iological </w:t>
      </w:r>
      <w:r w:rsidR="0055382B" w:rsidRPr="00686B33">
        <w:t>v</w:t>
      </w:r>
      <w:r w:rsidRPr="00686B33">
        <w:t xml:space="preserve">ariable (SABV) </w:t>
      </w:r>
      <w:r w:rsidR="000C442B" w:rsidRPr="00686B33">
        <w:t xml:space="preserve">by requiring researchers to account for SABV </w:t>
      </w:r>
      <w:r w:rsidR="0055382B" w:rsidRPr="00686B33">
        <w:t>in studies involving vertebrate animals and humans.</w:t>
      </w:r>
    </w:p>
    <w:p w14:paraId="7B46F237" w14:textId="24573AC9" w:rsidR="0055382B" w:rsidRDefault="0055382B" w:rsidP="000330D7">
      <w:pPr>
        <w:spacing w:after="120" w:line="240" w:lineRule="auto"/>
      </w:pPr>
      <w:r w:rsidRPr="00686B33">
        <w:rPr>
          <w:b/>
        </w:rPr>
        <w:t xml:space="preserve">Gender:  </w:t>
      </w:r>
      <w:r w:rsidRPr="00686B33">
        <w:t>Socially constructed roles, behavior, activities, and attributes.</w:t>
      </w:r>
      <w:r w:rsidR="008876DA" w:rsidRPr="00686B33">
        <w:t xml:space="preserve"> Also, a person’s deeply held, internal sense of self as male, female, a blend of both, or neither.</w:t>
      </w:r>
    </w:p>
    <w:p w14:paraId="4176F521" w14:textId="77777777" w:rsidR="000330D7" w:rsidRDefault="000330D7" w:rsidP="000330D7">
      <w:pPr>
        <w:spacing w:after="0" w:line="240" w:lineRule="auto"/>
      </w:pPr>
    </w:p>
    <w:p w14:paraId="15AC163A" w14:textId="059CDFF9" w:rsidR="007F608E" w:rsidRPr="00DA2ED8" w:rsidRDefault="007F608E" w:rsidP="007F608E">
      <w:pPr>
        <w:shd w:val="clear" w:color="auto" w:fill="BFBFBF"/>
        <w:rPr>
          <w:b/>
          <w:sz w:val="24"/>
          <w:szCs w:val="24"/>
        </w:rPr>
      </w:pPr>
      <w:r w:rsidRPr="00DA2ED8">
        <w:rPr>
          <w:b/>
          <w:sz w:val="24"/>
          <w:szCs w:val="24"/>
        </w:rPr>
        <w:t>Objectives</w:t>
      </w:r>
    </w:p>
    <w:p w14:paraId="05DD5D9B" w14:textId="77777777" w:rsidR="007F608E" w:rsidRDefault="007F608E" w:rsidP="000330D7">
      <w:pPr>
        <w:spacing w:after="120" w:line="240" w:lineRule="auto"/>
      </w:pPr>
      <w:r w:rsidRPr="00DA2ED8">
        <w:t>By the end of this session, learners will be able to:</w:t>
      </w:r>
    </w:p>
    <w:p w14:paraId="185CAF12" w14:textId="77777777" w:rsidR="007F608E" w:rsidRDefault="007F608E" w:rsidP="000330D7">
      <w:pPr>
        <w:spacing w:after="120" w:line="240" w:lineRule="auto"/>
        <w:ind w:left="720"/>
      </w:pPr>
      <w:r>
        <w:t xml:space="preserve">Recognize shared (male/female) and specific risk factors for the development of </w:t>
      </w:r>
      <w:r w:rsidR="00677EE6" w:rsidRPr="00677EE6">
        <w:rPr>
          <w:highlight w:val="green"/>
        </w:rPr>
        <w:t>[disease]</w:t>
      </w:r>
    </w:p>
    <w:p w14:paraId="36B4FC03" w14:textId="48C11356" w:rsidR="007F608E" w:rsidRDefault="007F608E" w:rsidP="000330D7">
      <w:pPr>
        <w:spacing w:after="120" w:line="240" w:lineRule="auto"/>
        <w:ind w:left="720"/>
      </w:pPr>
      <w:r>
        <w:t xml:space="preserve">Recognize sex and gender differences in the </w:t>
      </w:r>
      <w:r w:rsidR="000A2617">
        <w:t>presentation</w:t>
      </w:r>
      <w:r>
        <w:t xml:space="preserve"> of </w:t>
      </w:r>
      <w:r w:rsidR="00677EE6" w:rsidRPr="00677EE6">
        <w:rPr>
          <w:highlight w:val="green"/>
        </w:rPr>
        <w:t>[disease]</w:t>
      </w:r>
    </w:p>
    <w:p w14:paraId="7B238451" w14:textId="5E52C4B5" w:rsidR="000A2617" w:rsidRDefault="000A2617" w:rsidP="000330D7">
      <w:pPr>
        <w:spacing w:after="120" w:line="240" w:lineRule="auto"/>
        <w:ind w:left="720"/>
      </w:pPr>
      <w:r>
        <w:t xml:space="preserve">Identify any sex and gender differences in diagnostic testing or treatment of </w:t>
      </w:r>
      <w:r w:rsidRPr="009F3E13">
        <w:rPr>
          <w:highlight w:val="green"/>
        </w:rPr>
        <w:t>[disease]</w:t>
      </w:r>
    </w:p>
    <w:p w14:paraId="5834DAF3" w14:textId="6C8666D2" w:rsidR="007F608E" w:rsidRDefault="007F608E" w:rsidP="000330D7">
      <w:pPr>
        <w:spacing w:after="120" w:line="240" w:lineRule="auto"/>
        <w:ind w:left="720"/>
      </w:pPr>
      <w:r>
        <w:t xml:space="preserve">Identify sex and/or gender differences in screening indications for </w:t>
      </w:r>
      <w:r w:rsidR="00677EE6" w:rsidRPr="00677EE6">
        <w:rPr>
          <w:highlight w:val="green"/>
        </w:rPr>
        <w:t>[disease]</w:t>
      </w:r>
    </w:p>
    <w:p w14:paraId="3C79C0CA" w14:textId="551A4AD4" w:rsidR="007F608E" w:rsidRDefault="009F3E13" w:rsidP="000330D7">
      <w:pPr>
        <w:spacing w:after="120" w:line="240" w:lineRule="auto"/>
        <w:ind w:left="720"/>
      </w:pPr>
      <w:r>
        <w:t>Recognize or outline the effect of implicit bias on clinical care and outcomes</w:t>
      </w:r>
    </w:p>
    <w:p w14:paraId="77EA9806" w14:textId="77777777" w:rsidR="004F3D11" w:rsidRDefault="004F3D11" w:rsidP="00C856F3">
      <w:pPr>
        <w:spacing w:after="0" w:line="240" w:lineRule="auto"/>
        <w:ind w:left="720"/>
      </w:pPr>
    </w:p>
    <w:p w14:paraId="58249FD0" w14:textId="7315340D" w:rsidR="007F608E" w:rsidRPr="00DA2ED8" w:rsidRDefault="00677EE6" w:rsidP="007F608E">
      <w:pPr>
        <w:shd w:val="clear" w:color="auto" w:fill="BFBFBF"/>
        <w:rPr>
          <w:b/>
          <w:sz w:val="24"/>
          <w:szCs w:val="24"/>
        </w:rPr>
      </w:pPr>
      <w:r>
        <w:rPr>
          <w:rFonts w:eastAsia="Times New Roman"/>
          <w:b/>
          <w:sz w:val="24"/>
          <w:szCs w:val="24"/>
        </w:rPr>
        <w:t>Le</w:t>
      </w:r>
      <w:r w:rsidR="00C856F3">
        <w:rPr>
          <w:rFonts w:eastAsia="Times New Roman"/>
          <w:b/>
          <w:sz w:val="24"/>
          <w:szCs w:val="24"/>
        </w:rPr>
        <w:t>cture/Materials</w:t>
      </w:r>
    </w:p>
    <w:p w14:paraId="1013DBBC" w14:textId="5CC95B23" w:rsidR="00677EE6" w:rsidRDefault="007F608E" w:rsidP="000330D7">
      <w:pPr>
        <w:spacing w:after="120" w:line="240" w:lineRule="auto"/>
      </w:pPr>
      <w:r w:rsidRPr="00DB535F">
        <w:rPr>
          <w:b/>
        </w:rPr>
        <w:t>Lecture Overview:</w:t>
      </w:r>
      <w:r>
        <w:t xml:space="preserve">  The interactive </w:t>
      </w:r>
      <w:r w:rsidR="00737D9B">
        <w:rPr>
          <w:highlight w:val="green"/>
        </w:rPr>
        <w:t>[D</w:t>
      </w:r>
      <w:r w:rsidR="00677EE6" w:rsidRPr="00677EE6">
        <w:rPr>
          <w:highlight w:val="green"/>
        </w:rPr>
        <w:t>isease]</w:t>
      </w:r>
      <w:r w:rsidR="00737D9B">
        <w:t xml:space="preserve"> M</w:t>
      </w:r>
      <w:r>
        <w:t xml:space="preserve">odule includes didactics with patient case illustrations focused on the impact of sex and gender differences in relation to </w:t>
      </w:r>
      <w:r w:rsidR="00677EE6" w:rsidRPr="00637FC3">
        <w:rPr>
          <w:highlight w:val="green"/>
        </w:rPr>
        <w:t>[disease]</w:t>
      </w:r>
      <w:r>
        <w:t xml:space="preserve">. </w:t>
      </w:r>
      <w:r w:rsidR="00677EE6">
        <w:t>The module is designed in Parts:</w:t>
      </w:r>
      <w:r>
        <w:t xml:space="preserve"> </w:t>
      </w:r>
    </w:p>
    <w:p w14:paraId="64E187B9" w14:textId="77777777" w:rsidR="00677EE6" w:rsidRDefault="007F608E" w:rsidP="000330D7">
      <w:pPr>
        <w:spacing w:after="120" w:line="240" w:lineRule="auto"/>
        <w:ind w:firstLine="720"/>
      </w:pPr>
      <w:r>
        <w:t xml:space="preserve">Part 1: Normal Anatomy/Physiology of </w:t>
      </w:r>
      <w:r w:rsidR="00677EE6" w:rsidRPr="00677EE6">
        <w:rPr>
          <w:highlight w:val="green"/>
        </w:rPr>
        <w:t>[disease state]</w:t>
      </w:r>
      <w:r w:rsidR="00677EE6">
        <w:t xml:space="preserve"> </w:t>
      </w:r>
      <w:r>
        <w:t xml:space="preserve">and initial patient intake; </w:t>
      </w:r>
    </w:p>
    <w:p w14:paraId="3B20A889" w14:textId="77777777" w:rsidR="00677EE6" w:rsidRDefault="007F608E" w:rsidP="000330D7">
      <w:pPr>
        <w:spacing w:after="120" w:line="240" w:lineRule="auto"/>
        <w:ind w:firstLine="720"/>
      </w:pPr>
      <w:r>
        <w:t xml:space="preserve">Part 2: Pathophysiology/Pharmacotherapy and patient Diagnosis+/-Treatment and </w:t>
      </w:r>
    </w:p>
    <w:p w14:paraId="6EEE71EC" w14:textId="77777777" w:rsidR="007F608E" w:rsidRDefault="007F608E" w:rsidP="000330D7">
      <w:pPr>
        <w:spacing w:after="120" w:line="240" w:lineRule="auto"/>
        <w:ind w:firstLine="720"/>
      </w:pPr>
      <w:r>
        <w:t>Part 3: Advanced Clinical Application of Concepts.</w:t>
      </w:r>
    </w:p>
    <w:p w14:paraId="5A8AAFB7" w14:textId="77777777" w:rsidR="00686B33" w:rsidRDefault="00686B33" w:rsidP="000330D7">
      <w:pPr>
        <w:spacing w:after="120" w:line="240" w:lineRule="auto"/>
        <w:rPr>
          <w:b/>
        </w:rPr>
      </w:pPr>
    </w:p>
    <w:p w14:paraId="4C9568FD" w14:textId="39DFD211" w:rsidR="00677EE6" w:rsidRPr="00C856F3" w:rsidRDefault="00677EE6" w:rsidP="000330D7">
      <w:pPr>
        <w:spacing w:after="120" w:line="240" w:lineRule="auto"/>
        <w:rPr>
          <w:b/>
        </w:rPr>
      </w:pPr>
      <w:r w:rsidRPr="00C856F3">
        <w:rPr>
          <w:b/>
        </w:rPr>
        <w:t>Access Learning Module:</w:t>
      </w:r>
    </w:p>
    <w:p w14:paraId="1AE98E4D" w14:textId="52D969D1" w:rsidR="007F608E" w:rsidRDefault="00677EE6" w:rsidP="000330D7">
      <w:pPr>
        <w:spacing w:after="120" w:line="240" w:lineRule="auto"/>
      </w:pPr>
      <w:r w:rsidRPr="00C856F3">
        <w:t xml:space="preserve">Go to the SGSH website at this URL:  </w:t>
      </w:r>
      <w:hyperlink r:id="rId7" w:history="1">
        <w:r w:rsidR="007F608E" w:rsidRPr="00C856F3">
          <w:rPr>
            <w:rStyle w:val="Hyperlink"/>
          </w:rPr>
          <w:t>https://www.sexandgenderhealth.org/index.html</w:t>
        </w:r>
      </w:hyperlink>
      <w:r w:rsidR="00C856F3">
        <w:rPr>
          <w:rStyle w:val="Hyperlink"/>
        </w:rPr>
        <w:t>.</w:t>
      </w:r>
      <w:r w:rsidR="007F608E">
        <w:t xml:space="preserve"> </w:t>
      </w:r>
    </w:p>
    <w:p w14:paraId="0D04D207" w14:textId="79BD4CCA" w:rsidR="007F608E" w:rsidRDefault="00677EE6" w:rsidP="000330D7">
      <w:pPr>
        <w:spacing w:after="120" w:line="240" w:lineRule="auto"/>
      </w:pPr>
      <w:r>
        <w:t>Create an account</w:t>
      </w:r>
      <w:r w:rsidR="00C856F3">
        <w:t>:  This requires name, email address, and discipline.</w:t>
      </w:r>
    </w:p>
    <w:p w14:paraId="0CFA16E9" w14:textId="6E37E7BA" w:rsidR="007F608E" w:rsidRDefault="007F608E" w:rsidP="000330D7">
      <w:pPr>
        <w:spacing w:after="120" w:line="240" w:lineRule="auto"/>
      </w:pPr>
      <w:r>
        <w:t>Click on “Learning Modules”</w:t>
      </w:r>
      <w:r w:rsidR="00C856F3">
        <w:t xml:space="preserve"> in the main header on the home page.</w:t>
      </w:r>
    </w:p>
    <w:p w14:paraId="714D9D3E" w14:textId="71C1BEA2" w:rsidR="007F608E" w:rsidRPr="00737D9B" w:rsidRDefault="007F608E" w:rsidP="000330D7">
      <w:pPr>
        <w:spacing w:after="120" w:line="240" w:lineRule="auto"/>
        <w:rPr>
          <w:highlight w:val="green"/>
        </w:rPr>
      </w:pPr>
      <w:r>
        <w:t xml:space="preserve">Click on </w:t>
      </w:r>
      <w:r w:rsidRPr="00677EE6">
        <w:rPr>
          <w:highlight w:val="green"/>
        </w:rPr>
        <w:t>“</w:t>
      </w:r>
      <w:r w:rsidR="00737D9B">
        <w:rPr>
          <w:highlight w:val="green"/>
        </w:rPr>
        <w:t>[D</w:t>
      </w:r>
      <w:r w:rsidR="00677EE6" w:rsidRPr="00677EE6">
        <w:rPr>
          <w:highlight w:val="green"/>
        </w:rPr>
        <w:t>isease]</w:t>
      </w:r>
      <w:r w:rsidR="00C856F3">
        <w:rPr>
          <w:highlight w:val="green"/>
        </w:rPr>
        <w:t>.</w:t>
      </w:r>
      <w:r w:rsidRPr="00677EE6">
        <w:rPr>
          <w:highlight w:val="green"/>
        </w:rPr>
        <w:t>”</w:t>
      </w:r>
    </w:p>
    <w:p w14:paraId="499640FE" w14:textId="2284BD02" w:rsidR="007F608E" w:rsidRDefault="007F608E" w:rsidP="000330D7">
      <w:pPr>
        <w:spacing w:after="120" w:line="240" w:lineRule="auto"/>
      </w:pPr>
      <w:r>
        <w:t>Choose Part 1</w:t>
      </w:r>
      <w:r w:rsidR="00C856F3">
        <w:t>,</w:t>
      </w:r>
      <w:r>
        <w:t xml:space="preserve"> </w:t>
      </w:r>
      <w:r w:rsidR="00C856F3">
        <w:t xml:space="preserve">and proceed through the module, Parts 1, 2, and 3. </w:t>
      </w:r>
    </w:p>
    <w:p w14:paraId="5953C154" w14:textId="6CDDEDE2" w:rsidR="000330D7" w:rsidRDefault="000330D7" w:rsidP="000330D7">
      <w:pPr>
        <w:spacing w:after="120" w:line="240" w:lineRule="auto"/>
      </w:pPr>
    </w:p>
    <w:p w14:paraId="18FBD9B6" w14:textId="10DBD018" w:rsidR="00D5199B" w:rsidRDefault="00D5199B" w:rsidP="000330D7">
      <w:pPr>
        <w:spacing w:after="120" w:line="240" w:lineRule="auto"/>
      </w:pPr>
    </w:p>
    <w:p w14:paraId="5BCAEC4D" w14:textId="77777777" w:rsidR="00D5199B" w:rsidRDefault="00D5199B" w:rsidP="000330D7">
      <w:pPr>
        <w:spacing w:after="120" w:line="240" w:lineRule="auto"/>
      </w:pPr>
      <w:bookmarkStart w:id="0" w:name="_GoBack"/>
      <w:bookmarkEnd w:id="0"/>
    </w:p>
    <w:p w14:paraId="4620D3BA" w14:textId="3E56A8F2" w:rsidR="004F3D11" w:rsidRPr="00DA2ED8" w:rsidRDefault="004F3D11" w:rsidP="004F3D11">
      <w:pPr>
        <w:shd w:val="clear" w:color="auto" w:fill="BFBFBF"/>
        <w:rPr>
          <w:b/>
          <w:sz w:val="24"/>
          <w:szCs w:val="24"/>
        </w:rPr>
      </w:pPr>
      <w:r>
        <w:rPr>
          <w:b/>
          <w:sz w:val="24"/>
          <w:szCs w:val="24"/>
        </w:rPr>
        <w:t>Clinical Application Assessment</w:t>
      </w:r>
    </w:p>
    <w:p w14:paraId="22954C87" w14:textId="6CE33E88" w:rsidR="00B037F6" w:rsidRDefault="004F3D11" w:rsidP="00D55072">
      <w:pPr>
        <w:spacing w:after="0" w:line="240" w:lineRule="auto"/>
        <w:contextualSpacing/>
      </w:pPr>
      <w:r>
        <w:t xml:space="preserve">Reflect upon the below questions as they relate to the disease you </w:t>
      </w:r>
      <w:r w:rsidR="005417E8">
        <w:t>learned about in this</w:t>
      </w:r>
      <w:r>
        <w:t xml:space="preserve"> module. </w:t>
      </w:r>
      <w:r w:rsidRPr="004F3D11">
        <w:rPr>
          <w:highlight w:val="green"/>
        </w:rPr>
        <w:t>[The instructor will decide if these reflections should be a written response or open for class discussion.]</w:t>
      </w:r>
    </w:p>
    <w:p w14:paraId="64E2CC2F" w14:textId="0BF8D14F" w:rsidR="00D55072" w:rsidRDefault="00D55072" w:rsidP="00D55072">
      <w:pPr>
        <w:spacing w:after="0" w:line="240" w:lineRule="auto"/>
        <w:contextualSpacing/>
      </w:pPr>
    </w:p>
    <w:p w14:paraId="779E6D74" w14:textId="71FF75C8" w:rsidR="006D7AE1" w:rsidRPr="00686B33" w:rsidRDefault="006D7AE1" w:rsidP="00D55072">
      <w:pPr>
        <w:pStyle w:val="ListParagraph"/>
        <w:numPr>
          <w:ilvl w:val="0"/>
          <w:numId w:val="9"/>
        </w:numPr>
        <w:spacing w:after="0" w:line="240" w:lineRule="auto"/>
      </w:pPr>
      <w:r w:rsidRPr="00686B33">
        <w:t>Are there sex differences, and/or gender influences, in the presentation of this disease?</w:t>
      </w:r>
    </w:p>
    <w:p w14:paraId="49F1C018" w14:textId="27E7B504" w:rsidR="006D7AE1" w:rsidRPr="00686B33" w:rsidRDefault="006D7AE1" w:rsidP="00D55072">
      <w:pPr>
        <w:pStyle w:val="ListParagraph"/>
        <w:numPr>
          <w:ilvl w:val="0"/>
          <w:numId w:val="9"/>
        </w:numPr>
        <w:spacing w:after="0" w:line="240" w:lineRule="auto"/>
      </w:pPr>
      <w:r w:rsidRPr="00686B33">
        <w:t>When considering treatment options for this disease, have the FDA approved therapeutics been adequately studied in both males and females?</w:t>
      </w:r>
      <w:r w:rsidR="009F3E13">
        <w:t xml:space="preserve"> What methods would you use to determine this?</w:t>
      </w:r>
    </w:p>
    <w:p w14:paraId="78638B75" w14:textId="49695D30" w:rsidR="005417E8" w:rsidRPr="00686B33" w:rsidRDefault="006D7AE1" w:rsidP="007803ED">
      <w:pPr>
        <w:pStyle w:val="ListParagraph"/>
        <w:numPr>
          <w:ilvl w:val="0"/>
          <w:numId w:val="9"/>
        </w:numPr>
        <w:spacing w:after="0" w:line="240" w:lineRule="auto"/>
      </w:pPr>
      <w:r w:rsidRPr="00686B33">
        <w:t xml:space="preserve">What is the prognosis </w:t>
      </w:r>
      <w:r w:rsidR="00B037F6" w:rsidRPr="00686B33">
        <w:t>of this disease</w:t>
      </w:r>
      <w:r w:rsidRPr="00686B33">
        <w:t>, and is it influenced by SABV</w:t>
      </w:r>
      <w:r w:rsidR="00B037F6" w:rsidRPr="00686B33">
        <w:t>?</w:t>
      </w:r>
      <w:r w:rsidR="004F3D11" w:rsidRPr="00686B33">
        <w:t xml:space="preserve"> </w:t>
      </w:r>
    </w:p>
    <w:p w14:paraId="7BCE1D5D" w14:textId="096959FC" w:rsidR="006D7AE1" w:rsidRDefault="006D7AE1" w:rsidP="00D55072">
      <w:pPr>
        <w:pStyle w:val="ListParagraph"/>
        <w:numPr>
          <w:ilvl w:val="0"/>
          <w:numId w:val="9"/>
        </w:numPr>
        <w:spacing w:after="0" w:line="240" w:lineRule="auto"/>
      </w:pPr>
      <w:r w:rsidRPr="00686B33">
        <w:t xml:space="preserve">What are </w:t>
      </w:r>
      <w:r w:rsidR="00A95D07" w:rsidRPr="00686B33">
        <w:t>possible</w:t>
      </w:r>
      <w:r w:rsidRPr="00686B33">
        <w:t xml:space="preserve"> barriers to considering sex and gender when evaluating your patients?</w:t>
      </w:r>
    </w:p>
    <w:p w14:paraId="29ADD910" w14:textId="0D6CFD5A" w:rsidR="009F3E13" w:rsidRDefault="009F3E13" w:rsidP="00D55072">
      <w:pPr>
        <w:pStyle w:val="ListParagraph"/>
        <w:numPr>
          <w:ilvl w:val="0"/>
          <w:numId w:val="9"/>
        </w:numPr>
        <w:spacing w:after="0" w:line="240" w:lineRule="auto"/>
      </w:pPr>
      <w:r w:rsidRPr="00686B33">
        <w:t>What are the consequences of NOT considering sex and gender in the diagnosis and treatment of this disease?</w:t>
      </w:r>
    </w:p>
    <w:p w14:paraId="41B60E3F" w14:textId="77777777" w:rsidR="00D55072" w:rsidRPr="00686B33" w:rsidRDefault="00D55072" w:rsidP="00D55072">
      <w:pPr>
        <w:pStyle w:val="ListParagraph"/>
        <w:spacing w:after="0"/>
      </w:pPr>
    </w:p>
    <w:p w14:paraId="52F77C6A" w14:textId="35C18745" w:rsidR="007F608E" w:rsidRPr="00686B33" w:rsidRDefault="003C0DAC" w:rsidP="000C442B">
      <w:pPr>
        <w:shd w:val="clear" w:color="auto" w:fill="BFBFBF" w:themeFill="background1" w:themeFillShade="BF"/>
        <w:spacing w:after="0"/>
        <w:rPr>
          <w:b/>
          <w:sz w:val="24"/>
          <w:szCs w:val="24"/>
        </w:rPr>
      </w:pPr>
      <w:r w:rsidRPr="00686B33">
        <w:rPr>
          <w:b/>
          <w:sz w:val="24"/>
          <w:szCs w:val="24"/>
        </w:rPr>
        <w:t>Patient Care and Gender Implicit Bias</w:t>
      </w:r>
    </w:p>
    <w:p w14:paraId="313B1145" w14:textId="77777777" w:rsidR="000C442B" w:rsidRPr="00686B33" w:rsidRDefault="000C442B" w:rsidP="000C442B">
      <w:pPr>
        <w:pStyle w:val="NormalWeb"/>
        <w:shd w:val="clear" w:color="auto" w:fill="FFFFFF"/>
        <w:spacing w:before="0" w:beforeAutospacing="0" w:after="0" w:afterAutospacing="0"/>
        <w:rPr>
          <w:rFonts w:ascii="Calibri" w:hAnsi="Calibri" w:cs="Calibri"/>
          <w:b/>
          <w:sz w:val="22"/>
          <w:szCs w:val="22"/>
        </w:rPr>
      </w:pPr>
    </w:p>
    <w:p w14:paraId="17013380" w14:textId="3762518C" w:rsidR="00A95D07" w:rsidRPr="00686B33" w:rsidRDefault="007F608E" w:rsidP="000330D7">
      <w:pPr>
        <w:pStyle w:val="NormalWeb"/>
        <w:shd w:val="clear" w:color="auto" w:fill="FFFFFF"/>
        <w:spacing w:before="0" w:beforeAutospacing="0" w:after="0" w:afterAutospacing="0"/>
        <w:rPr>
          <w:rFonts w:ascii="Calibri" w:hAnsi="Calibri" w:cs="Calibri"/>
          <w:sz w:val="22"/>
          <w:szCs w:val="22"/>
        </w:rPr>
      </w:pPr>
      <w:r w:rsidRPr="00686B33">
        <w:rPr>
          <w:rFonts w:ascii="Calibri" w:hAnsi="Calibri" w:cs="Calibri"/>
          <w:b/>
          <w:sz w:val="22"/>
          <w:szCs w:val="22"/>
        </w:rPr>
        <w:t>Intro text:</w:t>
      </w:r>
      <w:r w:rsidRPr="00686B33">
        <w:rPr>
          <w:rFonts w:ascii="Calibri" w:hAnsi="Calibri" w:cs="Calibri"/>
          <w:sz w:val="22"/>
          <w:szCs w:val="22"/>
        </w:rPr>
        <w:t xml:space="preserve"> </w:t>
      </w:r>
      <w:r w:rsidR="00A95D07" w:rsidRPr="00686B33">
        <w:rPr>
          <w:rFonts w:ascii="Calibri" w:hAnsi="Calibri" w:cs="Calibri"/>
          <w:sz w:val="22"/>
          <w:szCs w:val="22"/>
        </w:rPr>
        <w:t xml:space="preserve"> Gender influences in disease are often propagated</w:t>
      </w:r>
      <w:r w:rsidR="00066E19" w:rsidRPr="00686B33">
        <w:rPr>
          <w:rFonts w:ascii="Calibri" w:hAnsi="Calibri" w:cs="Calibri"/>
          <w:sz w:val="22"/>
          <w:szCs w:val="22"/>
        </w:rPr>
        <w:t xml:space="preserve"> through </w:t>
      </w:r>
      <w:r w:rsidR="00A95D07" w:rsidRPr="00686B33">
        <w:rPr>
          <w:rFonts w:ascii="Calibri" w:hAnsi="Calibri" w:cs="Calibri"/>
          <w:sz w:val="22"/>
          <w:szCs w:val="22"/>
        </w:rPr>
        <w:t>implicit bias. The following activity offers the opportunity to explore gender implicit bias and its influence on pat</w:t>
      </w:r>
      <w:r w:rsidR="00066E19" w:rsidRPr="00686B33">
        <w:rPr>
          <w:rFonts w:ascii="Calibri" w:hAnsi="Calibri" w:cs="Calibri"/>
          <w:sz w:val="22"/>
          <w:szCs w:val="22"/>
        </w:rPr>
        <w:t>ient evaluation and treatment</w:t>
      </w:r>
      <w:r w:rsidR="00A95D07" w:rsidRPr="00686B33">
        <w:rPr>
          <w:rFonts w:ascii="Calibri" w:hAnsi="Calibri" w:cs="Calibri"/>
          <w:sz w:val="22"/>
          <w:szCs w:val="22"/>
        </w:rPr>
        <w:t>.</w:t>
      </w:r>
    </w:p>
    <w:p w14:paraId="51DF29A5" w14:textId="794D8B36" w:rsidR="00490AEF" w:rsidRPr="00686B33" w:rsidRDefault="00490AEF" w:rsidP="000C442B">
      <w:pPr>
        <w:pStyle w:val="NormalWeb"/>
        <w:shd w:val="clear" w:color="auto" w:fill="FFFFFF"/>
        <w:spacing w:before="0" w:beforeAutospacing="0" w:after="0" w:afterAutospacing="0"/>
        <w:rPr>
          <w:rFonts w:ascii="Calibri" w:hAnsi="Calibri" w:cs="Calibri"/>
          <w:sz w:val="22"/>
          <w:szCs w:val="22"/>
        </w:rPr>
      </w:pPr>
    </w:p>
    <w:p w14:paraId="7269E6D1" w14:textId="476CB137" w:rsidR="00490AEF" w:rsidRPr="00DA2ED8" w:rsidRDefault="00490AEF" w:rsidP="00490AEF">
      <w:pPr>
        <w:shd w:val="clear" w:color="auto" w:fill="BFBFBF"/>
        <w:rPr>
          <w:b/>
          <w:sz w:val="24"/>
          <w:szCs w:val="24"/>
        </w:rPr>
      </w:pPr>
      <w:r w:rsidRPr="00686B33">
        <w:rPr>
          <w:b/>
          <w:sz w:val="24"/>
          <w:szCs w:val="24"/>
        </w:rPr>
        <w:t xml:space="preserve">Implicit Bias </w:t>
      </w:r>
      <w:r w:rsidR="00BA00FB" w:rsidRPr="00686B33">
        <w:rPr>
          <w:b/>
          <w:sz w:val="24"/>
          <w:szCs w:val="24"/>
        </w:rPr>
        <w:t>Activity</w:t>
      </w:r>
    </w:p>
    <w:p w14:paraId="0D44D58D" w14:textId="77777777" w:rsidR="00BA00FB" w:rsidRPr="004456D6" w:rsidRDefault="00BA00FB" w:rsidP="00D55072">
      <w:pPr>
        <w:pStyle w:val="NormalWeb"/>
        <w:spacing w:before="0" w:beforeAutospacing="0" w:after="0" w:afterAutospacing="0"/>
        <w:contextualSpacing/>
        <w:rPr>
          <w:rFonts w:cs="Calibri"/>
          <w:sz w:val="22"/>
          <w:szCs w:val="22"/>
          <w:shd w:val="clear" w:color="auto" w:fill="FFFFFF"/>
        </w:rPr>
      </w:pPr>
      <w:r w:rsidRPr="004456D6">
        <w:rPr>
          <w:rFonts w:ascii="Calibri" w:hAnsi="Calibri" w:cs="Calibri"/>
          <w:sz w:val="22"/>
          <w:szCs w:val="22"/>
          <w:shd w:val="clear" w:color="auto" w:fill="FFFFFF"/>
        </w:rPr>
        <w:t>The following activity focuses on implicit bias, which is related more to the social construct of gender rather than sex as the biological variable. This portion of the activity is an opportunity to give and receive formative feedback</w:t>
      </w:r>
      <w:r>
        <w:rPr>
          <w:rFonts w:ascii="Calibri" w:hAnsi="Calibri" w:cs="Calibri"/>
          <w:sz w:val="22"/>
          <w:szCs w:val="22"/>
          <w:shd w:val="clear" w:color="auto" w:fill="FFFFFF"/>
        </w:rPr>
        <w:t>.</w:t>
      </w:r>
    </w:p>
    <w:p w14:paraId="075970B0" w14:textId="77777777" w:rsidR="00BA00FB" w:rsidRDefault="00BA00FB" w:rsidP="00D55072">
      <w:pPr>
        <w:pStyle w:val="NormalWeb"/>
        <w:spacing w:before="0" w:beforeAutospacing="0" w:after="0" w:afterAutospacing="0"/>
        <w:contextualSpacing/>
        <w:rPr>
          <w:rFonts w:ascii="Calibri" w:hAnsi="Calibri"/>
          <w:sz w:val="22"/>
          <w:szCs w:val="22"/>
          <w:shd w:val="clear" w:color="auto" w:fill="FFFFFF"/>
        </w:rPr>
      </w:pPr>
    </w:p>
    <w:p w14:paraId="63C8D363" w14:textId="72B43B72" w:rsidR="00490AEF" w:rsidRPr="005100E0" w:rsidRDefault="00490AEF" w:rsidP="00D55072">
      <w:pPr>
        <w:pStyle w:val="NormalWeb"/>
        <w:spacing w:before="0" w:beforeAutospacing="0" w:after="0" w:afterAutospacing="0"/>
        <w:contextualSpacing/>
        <w:rPr>
          <w:rFonts w:ascii="Calibri" w:hAnsi="Calibri"/>
          <w:sz w:val="22"/>
          <w:szCs w:val="22"/>
          <w:shd w:val="clear" w:color="auto" w:fill="FFFFFF"/>
        </w:rPr>
      </w:pPr>
      <w:r w:rsidRPr="005100E0">
        <w:rPr>
          <w:rFonts w:ascii="Calibri" w:hAnsi="Calibri"/>
          <w:sz w:val="22"/>
          <w:szCs w:val="22"/>
          <w:shd w:val="clear" w:color="auto" w:fill="FFFFFF"/>
        </w:rPr>
        <w:t>Review the following article</w:t>
      </w:r>
      <w:r>
        <w:rPr>
          <w:rFonts w:ascii="Calibri" w:hAnsi="Calibri"/>
          <w:sz w:val="22"/>
          <w:szCs w:val="22"/>
          <w:shd w:val="clear" w:color="auto" w:fill="FFFFFF"/>
        </w:rPr>
        <w:t>(s)</w:t>
      </w:r>
      <w:r w:rsidRPr="005100E0">
        <w:rPr>
          <w:rFonts w:ascii="Calibri" w:hAnsi="Calibri"/>
          <w:sz w:val="22"/>
          <w:szCs w:val="22"/>
          <w:shd w:val="clear" w:color="auto" w:fill="FFFFFF"/>
        </w:rPr>
        <w:t xml:space="preserve"> as it relates to the </w:t>
      </w:r>
      <w:r w:rsidRPr="005417E8">
        <w:rPr>
          <w:rFonts w:ascii="Calibri" w:hAnsi="Calibri"/>
          <w:sz w:val="22"/>
          <w:szCs w:val="22"/>
          <w:highlight w:val="green"/>
          <w:shd w:val="clear" w:color="auto" w:fill="FFFFFF"/>
        </w:rPr>
        <w:t>[disease]</w:t>
      </w:r>
      <w:r w:rsidRPr="005100E0">
        <w:rPr>
          <w:rFonts w:ascii="Calibri" w:hAnsi="Calibri"/>
          <w:sz w:val="22"/>
          <w:szCs w:val="22"/>
          <w:shd w:val="clear" w:color="auto" w:fill="FFFFFF"/>
        </w:rPr>
        <w:t xml:space="preserve">. </w:t>
      </w:r>
      <w:r w:rsidRPr="004F3D11">
        <w:rPr>
          <w:rFonts w:ascii="Calibri" w:hAnsi="Calibri"/>
          <w:sz w:val="22"/>
          <w:szCs w:val="22"/>
          <w:highlight w:val="green"/>
          <w:shd w:val="clear" w:color="auto" w:fill="FFFFFF"/>
        </w:rPr>
        <w:t xml:space="preserve">[The Instructor will select appropriate readings for this portion of the activity. </w:t>
      </w:r>
      <w:r w:rsidRPr="005417E8">
        <w:rPr>
          <w:rFonts w:ascii="Calibri" w:hAnsi="Calibri"/>
          <w:sz w:val="22"/>
          <w:szCs w:val="22"/>
          <w:highlight w:val="green"/>
          <w:u w:val="single"/>
          <w:shd w:val="clear" w:color="auto" w:fill="FFFFFF"/>
        </w:rPr>
        <w:t>An example from the Osteoporosis Module is below</w:t>
      </w:r>
      <w:r w:rsidRPr="004F3D11">
        <w:rPr>
          <w:rFonts w:ascii="Calibri" w:hAnsi="Calibri"/>
          <w:sz w:val="22"/>
          <w:szCs w:val="22"/>
          <w:highlight w:val="green"/>
          <w:shd w:val="clear" w:color="auto" w:fill="FFFFFF"/>
        </w:rPr>
        <w:t>.]</w:t>
      </w:r>
    </w:p>
    <w:p w14:paraId="2A6279B9" w14:textId="77777777" w:rsidR="00490AEF" w:rsidRPr="005100E0" w:rsidRDefault="00490AEF" w:rsidP="00D55072">
      <w:pPr>
        <w:pStyle w:val="NormalWeb"/>
        <w:spacing w:before="0" w:beforeAutospacing="0" w:after="0" w:afterAutospacing="0"/>
        <w:contextualSpacing/>
        <w:rPr>
          <w:rFonts w:ascii="Calibri" w:hAnsi="Calibri"/>
          <w:sz w:val="22"/>
          <w:szCs w:val="22"/>
          <w:shd w:val="clear" w:color="auto" w:fill="FFFFFF"/>
        </w:rPr>
      </w:pPr>
    </w:p>
    <w:p w14:paraId="22967926" w14:textId="5C300970" w:rsidR="004A2155" w:rsidRPr="004A2155" w:rsidRDefault="004A2155" w:rsidP="00D55072">
      <w:pPr>
        <w:pStyle w:val="NormalWeb"/>
        <w:spacing w:before="0" w:beforeAutospacing="0" w:after="0" w:afterAutospacing="0"/>
        <w:contextualSpacing/>
        <w:rPr>
          <w:rFonts w:asciiTheme="minorHAnsi" w:hAnsiTheme="minorHAnsi" w:cs="Calibri"/>
          <w:b/>
          <w:sz w:val="22"/>
          <w:szCs w:val="22"/>
          <w:shd w:val="clear" w:color="auto" w:fill="FFFFFF"/>
        </w:rPr>
      </w:pPr>
      <w:r w:rsidRPr="004A2155">
        <w:rPr>
          <w:rFonts w:asciiTheme="minorHAnsi" w:hAnsiTheme="minorHAnsi" w:cs="Calibri"/>
          <w:b/>
          <w:bCs/>
          <w:color w:val="000000"/>
          <w:kern w:val="36"/>
          <w:sz w:val="22"/>
          <w:szCs w:val="22"/>
        </w:rPr>
        <w:t>Example Reading:</w:t>
      </w:r>
      <w:r w:rsidRPr="004A2155">
        <w:rPr>
          <w:rFonts w:asciiTheme="minorHAnsi" w:hAnsiTheme="minorHAnsi" w:cs="Calibri"/>
          <w:bCs/>
          <w:color w:val="000000"/>
          <w:kern w:val="36"/>
          <w:sz w:val="22"/>
          <w:szCs w:val="22"/>
        </w:rPr>
        <w:t xml:space="preserve">  Cawthon, PM. Gender differences in [disease] and fractures. </w:t>
      </w:r>
      <w:hyperlink r:id="rId8" w:tooltip="Clinical orthopaedics and related research." w:history="1">
        <w:r w:rsidRPr="004A2155">
          <w:rPr>
            <w:rFonts w:asciiTheme="minorHAnsi" w:hAnsiTheme="minorHAnsi" w:cs="Calibri"/>
            <w:color w:val="000000"/>
            <w:sz w:val="22"/>
            <w:szCs w:val="22"/>
            <w:u w:val="single"/>
          </w:rPr>
          <w:t>Clin Orthop Relat Res.</w:t>
        </w:r>
      </w:hyperlink>
      <w:r w:rsidRPr="004A2155">
        <w:rPr>
          <w:rFonts w:asciiTheme="minorHAnsi" w:hAnsiTheme="minorHAnsi" w:cs="Calibri"/>
          <w:color w:val="000000"/>
          <w:sz w:val="22"/>
          <w:szCs w:val="22"/>
        </w:rPr>
        <w:t xml:space="preserve"> 2011 Jul;469(7):1900-5. </w:t>
      </w:r>
      <w:hyperlink r:id="rId9" w:history="1">
        <w:r w:rsidRPr="004A2155">
          <w:rPr>
            <w:rStyle w:val="Hyperlink"/>
            <w:rFonts w:asciiTheme="minorHAnsi" w:hAnsiTheme="minorHAnsi" w:cs="Calibri"/>
            <w:sz w:val="22"/>
            <w:szCs w:val="22"/>
          </w:rPr>
          <w:t>http://www.ncbi.nlm.nih.gov/pmc/articles/PMC3111766/</w:t>
        </w:r>
      </w:hyperlink>
    </w:p>
    <w:p w14:paraId="32720B80" w14:textId="77777777" w:rsidR="004A2155" w:rsidRDefault="004A2155" w:rsidP="00D55072">
      <w:pPr>
        <w:pStyle w:val="NormalWeb"/>
        <w:spacing w:before="0" w:beforeAutospacing="0" w:after="0" w:afterAutospacing="0"/>
        <w:contextualSpacing/>
        <w:rPr>
          <w:rFonts w:ascii="Calibri" w:hAnsi="Calibri" w:cs="Calibri"/>
          <w:b/>
          <w:sz w:val="22"/>
          <w:szCs w:val="22"/>
          <w:shd w:val="clear" w:color="auto" w:fill="FFFFFF"/>
        </w:rPr>
      </w:pPr>
    </w:p>
    <w:p w14:paraId="1EE4723F" w14:textId="01B25BA2" w:rsidR="00490AEF" w:rsidRPr="005100E0" w:rsidRDefault="00490AEF" w:rsidP="00D55072">
      <w:pPr>
        <w:pStyle w:val="NormalWeb"/>
        <w:spacing w:before="0" w:beforeAutospacing="0" w:after="0" w:afterAutospacing="0"/>
        <w:contextualSpacing/>
        <w:rPr>
          <w:rFonts w:ascii="Calibri" w:hAnsi="Calibri" w:cs="Calibri"/>
          <w:sz w:val="22"/>
          <w:szCs w:val="22"/>
          <w:shd w:val="clear" w:color="auto" w:fill="FFFFFF"/>
        </w:rPr>
      </w:pPr>
      <w:r w:rsidRPr="005100E0">
        <w:rPr>
          <w:rFonts w:ascii="Calibri" w:hAnsi="Calibri" w:cs="Calibri"/>
          <w:b/>
          <w:sz w:val="22"/>
          <w:szCs w:val="22"/>
          <w:shd w:val="clear" w:color="auto" w:fill="FFFFFF"/>
        </w:rPr>
        <w:t>Readings Overview:</w:t>
      </w:r>
      <w:r w:rsidRPr="005100E0">
        <w:rPr>
          <w:rFonts w:ascii="Calibri" w:hAnsi="Calibri" w:cs="Calibri"/>
          <w:sz w:val="22"/>
          <w:szCs w:val="22"/>
          <w:shd w:val="clear" w:color="auto" w:fill="FFFFFF"/>
        </w:rPr>
        <w:t xml:space="preserve"> </w:t>
      </w:r>
      <w:r w:rsidRPr="005100E0">
        <w:rPr>
          <w:rFonts w:ascii="Calibri" w:hAnsi="Calibri" w:cs="Calibri"/>
          <w:color w:val="FF0000"/>
          <w:sz w:val="22"/>
          <w:szCs w:val="22"/>
          <w:shd w:val="clear" w:color="auto" w:fill="FFFFFF"/>
        </w:rPr>
        <w:t xml:space="preserve"> </w:t>
      </w:r>
      <w:r w:rsidRPr="005100E0">
        <w:rPr>
          <w:rFonts w:ascii="Calibri" w:hAnsi="Calibri" w:cs="Calibri"/>
          <w:sz w:val="22"/>
          <w:szCs w:val="22"/>
          <w:shd w:val="clear" w:color="auto" w:fill="FFFFFF"/>
        </w:rPr>
        <w:t xml:space="preserve">The reading further outlines </w:t>
      </w:r>
      <w:r>
        <w:rPr>
          <w:rFonts w:ascii="Calibri" w:hAnsi="Calibri" w:cs="Calibri"/>
          <w:sz w:val="22"/>
          <w:szCs w:val="22"/>
          <w:shd w:val="clear" w:color="auto" w:fill="FFFFFF"/>
        </w:rPr>
        <w:t xml:space="preserve">healthcare disparities in the treatment of </w:t>
      </w:r>
      <w:r w:rsidRPr="00C856F3">
        <w:rPr>
          <w:rFonts w:ascii="Calibri" w:hAnsi="Calibri" w:cs="Calibri"/>
          <w:sz w:val="22"/>
          <w:szCs w:val="22"/>
          <w:highlight w:val="green"/>
          <w:shd w:val="clear" w:color="auto" w:fill="FFFFFF"/>
        </w:rPr>
        <w:t>[disease]</w:t>
      </w:r>
      <w:r>
        <w:rPr>
          <w:rFonts w:ascii="Calibri" w:hAnsi="Calibri" w:cs="Calibri"/>
          <w:sz w:val="22"/>
          <w:szCs w:val="22"/>
          <w:shd w:val="clear" w:color="auto" w:fill="FFFFFF"/>
        </w:rPr>
        <w:t xml:space="preserve"> as well as how implicit bias may affect some </w:t>
      </w:r>
      <w:r w:rsidRPr="00C856F3">
        <w:rPr>
          <w:rFonts w:ascii="Calibri" w:hAnsi="Calibri" w:cs="Calibri"/>
          <w:sz w:val="22"/>
          <w:szCs w:val="22"/>
          <w:highlight w:val="green"/>
          <w:shd w:val="clear" w:color="auto" w:fill="FFFFFF"/>
        </w:rPr>
        <w:t>[disease]</w:t>
      </w:r>
      <w:r>
        <w:rPr>
          <w:rFonts w:ascii="Calibri" w:hAnsi="Calibri" w:cs="Calibri"/>
          <w:sz w:val="22"/>
          <w:szCs w:val="22"/>
          <w:shd w:val="clear" w:color="auto" w:fill="FFFFFF"/>
        </w:rPr>
        <w:t xml:space="preserve"> patients. </w:t>
      </w:r>
    </w:p>
    <w:p w14:paraId="3CFF8BAA" w14:textId="77777777" w:rsidR="00490AEF" w:rsidRPr="005100E0" w:rsidRDefault="00490AEF" w:rsidP="00D55072">
      <w:pPr>
        <w:pStyle w:val="NormalWeb"/>
        <w:spacing w:before="0" w:beforeAutospacing="0" w:after="0" w:afterAutospacing="0"/>
        <w:contextualSpacing/>
        <w:rPr>
          <w:rFonts w:ascii="Calibri" w:hAnsi="Calibri" w:cs="Calibri"/>
          <w:sz w:val="22"/>
          <w:szCs w:val="22"/>
          <w:shd w:val="clear" w:color="auto" w:fill="FFFFFF"/>
        </w:rPr>
      </w:pPr>
    </w:p>
    <w:p w14:paraId="2611DF34" w14:textId="4A520C7A" w:rsidR="004A2155" w:rsidRDefault="00BA00FB" w:rsidP="00D55072">
      <w:pPr>
        <w:shd w:val="clear" w:color="auto" w:fill="FFFFFF"/>
        <w:spacing w:after="0" w:line="240" w:lineRule="auto"/>
        <w:contextualSpacing/>
        <w:rPr>
          <w:rFonts w:eastAsia="Times New Roman" w:cs="Calibri"/>
          <w:color w:val="000000"/>
        </w:rPr>
      </w:pPr>
      <w:r w:rsidRPr="00BA00FB">
        <w:rPr>
          <w:rFonts w:eastAsia="Times New Roman" w:cs="Calibri"/>
          <w:b/>
          <w:color w:val="000000"/>
        </w:rPr>
        <w:t>Whole Class Discussion</w:t>
      </w:r>
      <w:r w:rsidR="00150E61">
        <w:rPr>
          <w:rFonts w:eastAsia="Times New Roman" w:cs="Calibri"/>
          <w:b/>
          <w:color w:val="000000"/>
        </w:rPr>
        <w:t xml:space="preserve"> or Written Response</w:t>
      </w:r>
      <w:r w:rsidRPr="00BA00FB">
        <w:rPr>
          <w:rFonts w:eastAsia="Times New Roman" w:cs="Calibri"/>
          <w:b/>
          <w:color w:val="000000"/>
        </w:rPr>
        <w:t xml:space="preserve">: </w:t>
      </w:r>
      <w:r>
        <w:rPr>
          <w:rFonts w:eastAsia="Times New Roman" w:cs="Calibri"/>
          <w:color w:val="000000"/>
        </w:rPr>
        <w:t xml:space="preserve"> </w:t>
      </w:r>
    </w:p>
    <w:p w14:paraId="5C1B0352" w14:textId="135B4FB0" w:rsidR="009F3E13" w:rsidRDefault="009F3E13" w:rsidP="00D55072">
      <w:pPr>
        <w:pStyle w:val="ListParagraph"/>
        <w:numPr>
          <w:ilvl w:val="0"/>
          <w:numId w:val="11"/>
        </w:numPr>
        <w:shd w:val="clear" w:color="auto" w:fill="FFFFFF"/>
        <w:spacing w:after="0" w:line="240" w:lineRule="auto"/>
      </w:pPr>
      <w:r>
        <w:t>In your opinion, how might implicit bias impact clinical care?</w:t>
      </w:r>
    </w:p>
    <w:p w14:paraId="09A1CC83" w14:textId="5650B2A6" w:rsidR="004A2155" w:rsidRDefault="00BA00FB" w:rsidP="007803ED">
      <w:pPr>
        <w:pStyle w:val="ListParagraph"/>
        <w:numPr>
          <w:ilvl w:val="0"/>
          <w:numId w:val="11"/>
        </w:numPr>
        <w:shd w:val="clear" w:color="auto" w:fill="FFFFFF"/>
        <w:spacing w:after="0" w:line="240" w:lineRule="auto"/>
      </w:pPr>
      <w:r>
        <w:t>What are some ways clinicians can respond to, and prevent, implicit bias from having a negative impact on clinical care?</w:t>
      </w:r>
    </w:p>
    <w:p w14:paraId="1ECF1693" w14:textId="75E9AABA" w:rsidR="004A2155" w:rsidRDefault="004A2155" w:rsidP="00D55072">
      <w:pPr>
        <w:pStyle w:val="ListParagraph"/>
        <w:numPr>
          <w:ilvl w:val="0"/>
          <w:numId w:val="11"/>
        </w:numPr>
        <w:shd w:val="clear" w:color="auto" w:fill="FFFFFF"/>
        <w:spacing w:after="0" w:line="240" w:lineRule="auto"/>
      </w:pPr>
      <w:r>
        <w:t>With a better understanding of implicit bias, is there the possibility that your treatment plan has been influenced by the patient’s gender?</w:t>
      </w:r>
    </w:p>
    <w:p w14:paraId="2047A36C" w14:textId="364F7AE3" w:rsidR="00686B33" w:rsidRDefault="00686B33" w:rsidP="00686B33">
      <w:pPr>
        <w:shd w:val="clear" w:color="auto" w:fill="FFFFFF"/>
        <w:spacing w:after="0" w:line="240" w:lineRule="auto"/>
      </w:pPr>
    </w:p>
    <w:p w14:paraId="205C407D" w14:textId="399309B6" w:rsidR="00686B33" w:rsidRPr="00DA2ED8" w:rsidRDefault="00686B33" w:rsidP="00686B33">
      <w:pPr>
        <w:shd w:val="clear" w:color="auto" w:fill="BFBFBF"/>
        <w:rPr>
          <w:b/>
          <w:sz w:val="24"/>
          <w:szCs w:val="24"/>
        </w:rPr>
      </w:pPr>
      <w:r w:rsidRPr="00686B33">
        <w:rPr>
          <w:b/>
          <w:sz w:val="24"/>
          <w:szCs w:val="24"/>
        </w:rPr>
        <w:t>Optional Implicit Bias Activity</w:t>
      </w:r>
    </w:p>
    <w:p w14:paraId="7AB1D50A" w14:textId="7559178E" w:rsidR="007E45D3" w:rsidRDefault="00686B33" w:rsidP="000330D7">
      <w:pPr>
        <w:spacing w:after="0"/>
      </w:pPr>
      <w:r>
        <w:t xml:space="preserve">The Project Implicit test at the below website allows students to choose from a variety of topics in which they can discover areas of personal implicit bias:  </w:t>
      </w:r>
      <w:hyperlink r:id="rId10" w:history="1">
        <w:r w:rsidRPr="00AC2441">
          <w:rPr>
            <w:rStyle w:val="Hyperlink"/>
          </w:rPr>
          <w:t>https://implicit.harvard.edu/implicit/</w:t>
        </w:r>
      </w:hyperlink>
      <w:r>
        <w:t xml:space="preserve">. </w:t>
      </w:r>
    </w:p>
    <w:sectPr w:rsidR="007E45D3" w:rsidSect="00525D31">
      <w:headerReference w:type="default" r:id="rId11"/>
      <w:footerReference w:type="default" r:id="rId12"/>
      <w:pgSz w:w="12240" w:h="15840"/>
      <w:pgMar w:top="1152" w:right="1152" w:bottom="1152" w:left="1152"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A47CB" w14:textId="77777777" w:rsidR="00BB11F2" w:rsidRDefault="00BB11F2" w:rsidP="00A6210F">
      <w:pPr>
        <w:spacing w:after="0" w:line="240" w:lineRule="auto"/>
      </w:pPr>
      <w:r>
        <w:separator/>
      </w:r>
    </w:p>
  </w:endnote>
  <w:endnote w:type="continuationSeparator" w:id="0">
    <w:p w14:paraId="3FD3CF61" w14:textId="77777777" w:rsidR="00BB11F2" w:rsidRDefault="00BB11F2" w:rsidP="00A6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97FDE" w14:textId="2DEBC65D" w:rsidR="00A6210F" w:rsidRDefault="00A6210F" w:rsidP="00A6210F">
    <w:pPr>
      <w:jc w:val="center"/>
      <w:rPr>
        <w:sz w:val="18"/>
        <w:szCs w:val="18"/>
      </w:rPr>
    </w:pPr>
    <w:r>
      <w:rPr>
        <w:sz w:val="18"/>
        <w:szCs w:val="18"/>
      </w:rPr>
      <w:t xml:space="preserve">All Original Content ©2018 </w:t>
    </w:r>
    <w:r w:rsidRPr="00567F23">
      <w:rPr>
        <w:sz w:val="18"/>
        <w:szCs w:val="18"/>
      </w:rPr>
      <w:t xml:space="preserve">TTUHSC </w:t>
    </w:r>
    <w:r>
      <w:rPr>
        <w:sz w:val="18"/>
        <w:szCs w:val="18"/>
      </w:rPr>
      <w:t xml:space="preserve">SGSH </w:t>
    </w:r>
    <w:r w:rsidRPr="00567F23">
      <w:rPr>
        <w:sz w:val="18"/>
        <w:szCs w:val="18"/>
      </w:rPr>
      <w:t>LWB</w:t>
    </w:r>
    <w:r>
      <w:rPr>
        <w:sz w:val="18"/>
        <w:szCs w:val="18"/>
      </w:rPr>
      <w:t>IW</w:t>
    </w:r>
    <w:r w:rsidRPr="00567F23">
      <w:rPr>
        <w:sz w:val="18"/>
        <w:szCs w:val="18"/>
      </w:rPr>
      <w:t>H</w:t>
    </w:r>
    <w:r>
      <w:rPr>
        <w:sz w:val="18"/>
        <w:szCs w:val="18"/>
      </w:rPr>
      <w:t xml:space="preserve"> All Rights Reserved</w:t>
    </w:r>
  </w:p>
  <w:p w14:paraId="5843AFA8" w14:textId="7A94CC05" w:rsidR="00A6210F" w:rsidRDefault="00A6210F">
    <w:pPr>
      <w:pStyle w:val="Footer"/>
    </w:pPr>
  </w:p>
  <w:p w14:paraId="6171842F" w14:textId="77777777" w:rsidR="00A6210F" w:rsidRDefault="00A6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1E5FA" w14:textId="77777777" w:rsidR="00BB11F2" w:rsidRDefault="00BB11F2" w:rsidP="00A6210F">
      <w:pPr>
        <w:spacing w:after="0" w:line="240" w:lineRule="auto"/>
      </w:pPr>
      <w:r>
        <w:separator/>
      </w:r>
    </w:p>
  </w:footnote>
  <w:footnote w:type="continuationSeparator" w:id="0">
    <w:p w14:paraId="4E28434D" w14:textId="77777777" w:rsidR="00BB11F2" w:rsidRDefault="00BB11F2" w:rsidP="00A621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79267" w14:textId="4CC8BDA9" w:rsidR="00A6210F" w:rsidRDefault="00525D31" w:rsidP="00525D31">
    <w:pPr>
      <w:pStyle w:val="Header"/>
      <w:jc w:val="center"/>
    </w:pPr>
    <w:r w:rsidRPr="00B50DD5">
      <w:rPr>
        <w:noProof/>
      </w:rPr>
      <w:drawing>
        <wp:inline distT="0" distB="0" distL="0" distR="0" wp14:anchorId="4C20E704" wp14:editId="254B7080">
          <wp:extent cx="1943100" cy="1289751"/>
          <wp:effectExtent l="0" t="0" r="0" b="5715"/>
          <wp:docPr id="3" name="Picture 3" descr="C:\Users\ligilmor\Pictures\SGSH\SGSH Logos\SGSH_Logo_white_background_vertical_crop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gilmor\Pictures\SGSH\SGSH Logos\SGSH_Logo_white_background_vertical_croppe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3534" cy="130331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1664A"/>
    <w:multiLevelType w:val="hybridMultilevel"/>
    <w:tmpl w:val="00D400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454FE7"/>
    <w:multiLevelType w:val="hybridMultilevel"/>
    <w:tmpl w:val="4262113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02C0F36"/>
    <w:multiLevelType w:val="hybridMultilevel"/>
    <w:tmpl w:val="7B1A1FC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BC16ACA"/>
    <w:multiLevelType w:val="hybridMultilevel"/>
    <w:tmpl w:val="3244D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6632B1"/>
    <w:multiLevelType w:val="hybridMultilevel"/>
    <w:tmpl w:val="D9E82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40011"/>
    <w:multiLevelType w:val="hybridMultilevel"/>
    <w:tmpl w:val="9806A1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92389"/>
    <w:multiLevelType w:val="hybridMultilevel"/>
    <w:tmpl w:val="9BD01B48"/>
    <w:lvl w:ilvl="0" w:tplc="B39E61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38091B"/>
    <w:multiLevelType w:val="hybridMultilevel"/>
    <w:tmpl w:val="1F38F82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47F419B8"/>
    <w:multiLevelType w:val="hybridMultilevel"/>
    <w:tmpl w:val="B74208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DA1411C"/>
    <w:multiLevelType w:val="multilevel"/>
    <w:tmpl w:val="72664106"/>
    <w:lvl w:ilvl="0">
      <w:start w:val="1"/>
      <w:numFmt w:val="decimal"/>
      <w:lvlText w:val="%1."/>
      <w:lvlJc w:val="left"/>
      <w:pPr>
        <w:tabs>
          <w:tab w:val="num" w:pos="360"/>
        </w:tabs>
        <w:ind w:left="360" w:hanging="360"/>
      </w:pPr>
      <w:rPr>
        <w:rFonts w:cs="Times New Roman" w:hint="default"/>
        <w:b/>
      </w:rPr>
    </w:lvl>
    <w:lvl w:ilvl="1">
      <w:start w:val="1"/>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485173"/>
    <w:multiLevelType w:val="hybridMultilevel"/>
    <w:tmpl w:val="0FA211AE"/>
    <w:lvl w:ilvl="0" w:tplc="D1EE48C4">
      <w:start w:val="1"/>
      <w:numFmt w:val="decimal"/>
      <w:lvlText w:val="%1."/>
      <w:lvlJc w:val="left"/>
      <w:pPr>
        <w:ind w:left="720" w:hanging="360"/>
      </w:pPr>
      <w:rPr>
        <w:rFonts w:eastAsia="Times New Roman" w:cs="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2"/>
  </w:num>
  <w:num w:numId="4">
    <w:abstractNumId w:val="7"/>
  </w:num>
  <w:num w:numId="5">
    <w:abstractNumId w:val="1"/>
  </w:num>
  <w:num w:numId="6">
    <w:abstractNumId w:val="4"/>
  </w:num>
  <w:num w:numId="7">
    <w:abstractNumId w:val="8"/>
  </w:num>
  <w:num w:numId="8">
    <w:abstractNumId w:val="0"/>
  </w:num>
  <w:num w:numId="9">
    <w:abstractNumId w:val="3"/>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08E"/>
    <w:rsid w:val="00007593"/>
    <w:rsid w:val="000330D7"/>
    <w:rsid w:val="00036217"/>
    <w:rsid w:val="00066E19"/>
    <w:rsid w:val="000A2617"/>
    <w:rsid w:val="000C442B"/>
    <w:rsid w:val="000E71F6"/>
    <w:rsid w:val="00150E61"/>
    <w:rsid w:val="00175D4A"/>
    <w:rsid w:val="001F3715"/>
    <w:rsid w:val="003C0DAC"/>
    <w:rsid w:val="00444073"/>
    <w:rsid w:val="004456D6"/>
    <w:rsid w:val="00490AEF"/>
    <w:rsid w:val="004A2155"/>
    <w:rsid w:val="004F09E8"/>
    <w:rsid w:val="004F3D11"/>
    <w:rsid w:val="005100E0"/>
    <w:rsid w:val="00525D31"/>
    <w:rsid w:val="005417E8"/>
    <w:rsid w:val="0055382B"/>
    <w:rsid w:val="00582F55"/>
    <w:rsid w:val="00590C7F"/>
    <w:rsid w:val="00637FC3"/>
    <w:rsid w:val="00675CFA"/>
    <w:rsid w:val="00677EE6"/>
    <w:rsid w:val="00686B33"/>
    <w:rsid w:val="006D7AE1"/>
    <w:rsid w:val="006E0B32"/>
    <w:rsid w:val="00737D9B"/>
    <w:rsid w:val="00742F27"/>
    <w:rsid w:val="007803ED"/>
    <w:rsid w:val="007E45D3"/>
    <w:rsid w:val="007F349F"/>
    <w:rsid w:val="007F608E"/>
    <w:rsid w:val="008876DA"/>
    <w:rsid w:val="008A7446"/>
    <w:rsid w:val="00975235"/>
    <w:rsid w:val="009F3E13"/>
    <w:rsid w:val="00A6210F"/>
    <w:rsid w:val="00A95D07"/>
    <w:rsid w:val="00AA529A"/>
    <w:rsid w:val="00AC173C"/>
    <w:rsid w:val="00B037F6"/>
    <w:rsid w:val="00B2254D"/>
    <w:rsid w:val="00BA00FB"/>
    <w:rsid w:val="00BB11F2"/>
    <w:rsid w:val="00BB20A6"/>
    <w:rsid w:val="00C0741E"/>
    <w:rsid w:val="00C760A4"/>
    <w:rsid w:val="00C856F3"/>
    <w:rsid w:val="00C864CE"/>
    <w:rsid w:val="00D01C60"/>
    <w:rsid w:val="00D5199B"/>
    <w:rsid w:val="00D55072"/>
    <w:rsid w:val="00DA690B"/>
    <w:rsid w:val="00E03FFC"/>
    <w:rsid w:val="00E15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B4263"/>
  <w15:chartTrackingRefBased/>
  <w15:docId w15:val="{D1B968E2-9FE6-4C7F-AA79-609AE6A6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F608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608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7F608E"/>
    <w:rPr>
      <w:color w:val="0000FF"/>
      <w:u w:val="single"/>
    </w:rPr>
  </w:style>
  <w:style w:type="paragraph" w:styleId="ListParagraph">
    <w:name w:val="List Paragraph"/>
    <w:basedOn w:val="Normal"/>
    <w:uiPriority w:val="34"/>
    <w:qFormat/>
    <w:rsid w:val="007F608E"/>
    <w:pPr>
      <w:ind w:left="720"/>
      <w:contextualSpacing/>
    </w:pPr>
  </w:style>
  <w:style w:type="character" w:styleId="CommentReference">
    <w:name w:val="annotation reference"/>
    <w:basedOn w:val="DefaultParagraphFont"/>
    <w:uiPriority w:val="99"/>
    <w:semiHidden/>
    <w:unhideWhenUsed/>
    <w:rsid w:val="00677EE6"/>
    <w:rPr>
      <w:sz w:val="16"/>
      <w:szCs w:val="16"/>
    </w:rPr>
  </w:style>
  <w:style w:type="paragraph" w:styleId="CommentText">
    <w:name w:val="annotation text"/>
    <w:basedOn w:val="Normal"/>
    <w:link w:val="CommentTextChar"/>
    <w:uiPriority w:val="99"/>
    <w:semiHidden/>
    <w:unhideWhenUsed/>
    <w:rsid w:val="00677EE6"/>
    <w:pPr>
      <w:spacing w:line="240" w:lineRule="auto"/>
    </w:pPr>
    <w:rPr>
      <w:sz w:val="20"/>
      <w:szCs w:val="20"/>
    </w:rPr>
  </w:style>
  <w:style w:type="character" w:customStyle="1" w:styleId="CommentTextChar">
    <w:name w:val="Comment Text Char"/>
    <w:basedOn w:val="DefaultParagraphFont"/>
    <w:link w:val="CommentText"/>
    <w:uiPriority w:val="99"/>
    <w:semiHidden/>
    <w:rsid w:val="00677EE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77EE6"/>
    <w:rPr>
      <w:b/>
      <w:bCs/>
    </w:rPr>
  </w:style>
  <w:style w:type="character" w:customStyle="1" w:styleId="CommentSubjectChar">
    <w:name w:val="Comment Subject Char"/>
    <w:basedOn w:val="CommentTextChar"/>
    <w:link w:val="CommentSubject"/>
    <w:uiPriority w:val="99"/>
    <w:semiHidden/>
    <w:rsid w:val="00677EE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677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EE6"/>
    <w:rPr>
      <w:rFonts w:ascii="Segoe UI" w:eastAsia="Calibri" w:hAnsi="Segoe UI" w:cs="Segoe UI"/>
      <w:sz w:val="18"/>
      <w:szCs w:val="18"/>
    </w:rPr>
  </w:style>
  <w:style w:type="character" w:styleId="FollowedHyperlink">
    <w:name w:val="FollowedHyperlink"/>
    <w:basedOn w:val="DefaultParagraphFont"/>
    <w:uiPriority w:val="99"/>
    <w:semiHidden/>
    <w:unhideWhenUsed/>
    <w:rsid w:val="00007593"/>
    <w:rPr>
      <w:color w:val="954F72" w:themeColor="followedHyperlink"/>
      <w:u w:val="single"/>
    </w:rPr>
  </w:style>
  <w:style w:type="paragraph" w:styleId="Header">
    <w:name w:val="header"/>
    <w:basedOn w:val="Normal"/>
    <w:link w:val="HeaderChar"/>
    <w:uiPriority w:val="99"/>
    <w:unhideWhenUsed/>
    <w:rsid w:val="00A621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10F"/>
    <w:rPr>
      <w:rFonts w:ascii="Calibri" w:eastAsia="Calibri" w:hAnsi="Calibri" w:cs="Times New Roman"/>
    </w:rPr>
  </w:style>
  <w:style w:type="paragraph" w:styleId="Footer">
    <w:name w:val="footer"/>
    <w:basedOn w:val="Normal"/>
    <w:link w:val="FooterChar"/>
    <w:uiPriority w:val="99"/>
    <w:unhideWhenUsed/>
    <w:rsid w:val="00A62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10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2126455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exandgenderhealth.org/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implicit.harvard.edu/implicit/" TargetMode="External"/><Relationship Id="rId4" Type="http://schemas.openxmlformats.org/officeDocument/2006/relationships/webSettings" Target="webSettings.xml"/><Relationship Id="rId9" Type="http://schemas.openxmlformats.org/officeDocument/2006/relationships/hyperlink" Target="http://www.ncbi.nlm.nih.gov/pmc/articles/PMC3111766/"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Gilmore, Linda</dc:creator>
  <cp:keywords/>
  <dc:description/>
  <cp:lastModifiedBy>Linda Gilmore</cp:lastModifiedBy>
  <cp:revision>5</cp:revision>
  <dcterms:created xsi:type="dcterms:W3CDTF">2018-09-19T13:41:00Z</dcterms:created>
  <dcterms:modified xsi:type="dcterms:W3CDTF">2018-09-26T16:38:00Z</dcterms:modified>
</cp:coreProperties>
</file>